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489F8" w14:textId="2FCF3401" w:rsidR="000E0E3C" w:rsidRDefault="000E0E3C" w:rsidP="000E0E3C">
      <w:pPr>
        <w:spacing w:after="100" w:afterAutospacing="1" w:line="240" w:lineRule="auto"/>
        <w:textAlignment w:val="top"/>
        <w:outlineLvl w:val="1"/>
        <w:rPr>
          <w:rFonts w:ascii="Helvetica" w:eastAsia="Times New Roman" w:hAnsi="Helvetica" w:cs="Segoe UI"/>
          <w:b/>
          <w:bCs/>
          <w:color w:val="161616"/>
          <w:sz w:val="36"/>
          <w:szCs w:val="36"/>
          <w:lang w:eastAsia="en-GB"/>
        </w:rPr>
      </w:pPr>
    </w:p>
    <w:p w14:paraId="0A0AB591" w14:textId="42DAB97A" w:rsidR="00600060" w:rsidRDefault="00600060" w:rsidP="00600060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341622A" wp14:editId="446ADEF1">
            <wp:simplePos x="0" y="0"/>
            <wp:positionH relativeFrom="margin">
              <wp:posOffset>-6350</wp:posOffset>
            </wp:positionH>
            <wp:positionV relativeFrom="paragraph">
              <wp:posOffset>0</wp:posOffset>
            </wp:positionV>
            <wp:extent cx="2298700" cy="455930"/>
            <wp:effectExtent l="0" t="0" r="0" b="1270"/>
            <wp:wrapTight wrapText="bothSides">
              <wp:wrapPolygon edited="0">
                <wp:start x="1611" y="0"/>
                <wp:lineTo x="358" y="1805"/>
                <wp:lineTo x="0" y="9928"/>
                <wp:lineTo x="358" y="17148"/>
                <wp:lineTo x="1432" y="20758"/>
                <wp:lineTo x="3043" y="20758"/>
                <wp:lineTo x="3938" y="19855"/>
                <wp:lineTo x="10919" y="16245"/>
                <wp:lineTo x="21302" y="14440"/>
                <wp:lineTo x="21123" y="4513"/>
                <wp:lineTo x="2864" y="0"/>
                <wp:lineTo x="1611" y="0"/>
              </wp:wrapPolygon>
            </wp:wrapTight>
            <wp:docPr id="2" name="Picture 2" descr="cid:image034.png@01D7A024.5BA2C62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34.png@01D7A024.5BA2C62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 wp14:anchorId="0E5FBE0D" wp14:editId="74AE866C">
            <wp:simplePos x="0" y="0"/>
            <wp:positionH relativeFrom="margin">
              <wp:posOffset>5041265</wp:posOffset>
            </wp:positionH>
            <wp:positionV relativeFrom="paragraph">
              <wp:posOffset>-11430</wp:posOffset>
            </wp:positionV>
            <wp:extent cx="1047750" cy="656590"/>
            <wp:effectExtent l="0" t="0" r="0" b="0"/>
            <wp:wrapNone/>
            <wp:docPr id="1" name="Picture 1" descr="knowsley_logo_2010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owsley_logo_2010_rg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8" t="14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44208" w14:textId="77777777" w:rsidR="00600060" w:rsidRDefault="00600060" w:rsidP="00600060">
      <w:pPr>
        <w:pStyle w:val="Header"/>
      </w:pPr>
    </w:p>
    <w:p w14:paraId="6AC61C3F" w14:textId="77777777" w:rsidR="00600060" w:rsidRDefault="00600060" w:rsidP="00600060">
      <w:pPr>
        <w:pStyle w:val="Header"/>
      </w:pPr>
      <w:r>
        <w:rPr>
          <w:rFonts w:ascii="Arial" w:hAnsi="Arial" w:cs="Arial"/>
          <w:sz w:val="18"/>
          <w:szCs w:val="18"/>
        </w:rPr>
        <w:t>Liverpool City Region Adult Education Budget</w:t>
      </w:r>
    </w:p>
    <w:p w14:paraId="2FAD6B9D" w14:textId="77777777" w:rsidR="00E86C82" w:rsidRDefault="00E86C82" w:rsidP="00E86C8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C682132" w14:textId="77777777" w:rsidR="00E86C82" w:rsidRDefault="00E86C82" w:rsidP="00E86C8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76328E5" w14:textId="72D62576" w:rsidR="00E86C82" w:rsidRPr="00E86C82" w:rsidRDefault="00E86C82" w:rsidP="00E86C8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86C82">
        <w:rPr>
          <w:rFonts w:ascii="Arial" w:eastAsia="Times New Roman" w:hAnsi="Arial" w:cs="Arial"/>
          <w:b/>
          <w:sz w:val="32"/>
          <w:szCs w:val="32"/>
        </w:rPr>
        <w:t>Knowsley FACE</w:t>
      </w:r>
    </w:p>
    <w:p w14:paraId="6224CA42" w14:textId="77777777" w:rsidR="00E86C82" w:rsidRPr="00E86C82" w:rsidRDefault="00E86C82" w:rsidP="00E86C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0237D" w14:textId="77777777" w:rsidR="00E86C82" w:rsidRPr="00E86C82" w:rsidRDefault="00E86C82" w:rsidP="00E86C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3114"/>
        <w:gridCol w:w="4961"/>
      </w:tblGrid>
      <w:tr w:rsidR="00E86C82" w:rsidRPr="00E86C82" w14:paraId="30177C9E" w14:textId="77777777" w:rsidTr="00BB1F3A">
        <w:tc>
          <w:tcPr>
            <w:tcW w:w="3114" w:type="dxa"/>
          </w:tcPr>
          <w:p w14:paraId="410E4043" w14:textId="77777777" w:rsidR="00E86C82" w:rsidRPr="00E86C82" w:rsidRDefault="00E86C82" w:rsidP="00E86C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C82">
              <w:rPr>
                <w:rFonts w:ascii="Arial" w:hAnsi="Arial" w:cs="Arial"/>
                <w:b/>
                <w:bCs/>
                <w:sz w:val="24"/>
                <w:szCs w:val="24"/>
              </w:rPr>
              <w:t>Policy:</w:t>
            </w:r>
          </w:p>
        </w:tc>
        <w:tc>
          <w:tcPr>
            <w:tcW w:w="4961" w:type="dxa"/>
          </w:tcPr>
          <w:p w14:paraId="5AC4199D" w14:textId="4A897C7D" w:rsidR="00E86C82" w:rsidRPr="00E86C82" w:rsidRDefault="00E86C82" w:rsidP="00E86C8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Sub-Contracting</w:t>
            </w:r>
          </w:p>
        </w:tc>
      </w:tr>
      <w:tr w:rsidR="00E86C82" w:rsidRPr="00E86C82" w14:paraId="6B2DBB39" w14:textId="77777777" w:rsidTr="00BB1F3A">
        <w:tc>
          <w:tcPr>
            <w:tcW w:w="3114" w:type="dxa"/>
          </w:tcPr>
          <w:p w14:paraId="10149869" w14:textId="77777777" w:rsidR="00E86C82" w:rsidRPr="00E86C82" w:rsidRDefault="00E86C82" w:rsidP="00E86C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C82">
              <w:rPr>
                <w:rFonts w:ascii="Arial" w:hAnsi="Arial" w:cs="Arial"/>
                <w:b/>
                <w:bCs/>
                <w:sz w:val="24"/>
                <w:szCs w:val="24"/>
              </w:rPr>
              <w:t>Date created:</w:t>
            </w:r>
          </w:p>
        </w:tc>
        <w:tc>
          <w:tcPr>
            <w:tcW w:w="4961" w:type="dxa"/>
          </w:tcPr>
          <w:p w14:paraId="0127B3EA" w14:textId="5841C7FC" w:rsidR="00E86C82" w:rsidRPr="00E86C82" w:rsidRDefault="00D32AAA" w:rsidP="00D32AA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September</w:t>
            </w:r>
            <w:r w:rsidR="00E86C82" w:rsidRPr="00E86C82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86C82" w:rsidRPr="00E86C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86C82" w:rsidRPr="00E86C82" w14:paraId="724CA4F9" w14:textId="77777777" w:rsidTr="00BB1F3A">
        <w:tc>
          <w:tcPr>
            <w:tcW w:w="3114" w:type="dxa"/>
          </w:tcPr>
          <w:p w14:paraId="547461C8" w14:textId="77777777" w:rsidR="00E86C82" w:rsidRPr="00E86C82" w:rsidRDefault="00E86C82" w:rsidP="00E86C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C82">
              <w:rPr>
                <w:rFonts w:ascii="Arial" w:hAnsi="Arial" w:cs="Arial"/>
                <w:b/>
                <w:bCs/>
                <w:sz w:val="24"/>
                <w:szCs w:val="24"/>
              </w:rPr>
              <w:t>Date to be renewed:</w:t>
            </w:r>
          </w:p>
        </w:tc>
        <w:tc>
          <w:tcPr>
            <w:tcW w:w="4961" w:type="dxa"/>
          </w:tcPr>
          <w:p w14:paraId="0FD82694" w14:textId="6E210880" w:rsidR="00E86C82" w:rsidRPr="00E86C82" w:rsidRDefault="00D32AAA" w:rsidP="00D32AA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August 2022</w:t>
            </w:r>
          </w:p>
        </w:tc>
      </w:tr>
    </w:tbl>
    <w:p w14:paraId="52754CD6" w14:textId="77777777" w:rsidR="00E86C82" w:rsidRPr="0026063A" w:rsidRDefault="00E86C82" w:rsidP="000E0E3C">
      <w:pPr>
        <w:rPr>
          <w:rFonts w:cs="Arial"/>
          <w:bCs/>
        </w:rPr>
      </w:pPr>
    </w:p>
    <w:p w14:paraId="3361A5D8" w14:textId="77777777" w:rsidR="000E0E3C" w:rsidRDefault="00433484" w:rsidP="000E0E3C">
      <w:pPr>
        <w:spacing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161616"/>
          <w:sz w:val="24"/>
          <w:szCs w:val="24"/>
          <w:lang w:eastAsia="en-GB"/>
        </w:rPr>
      </w:pPr>
      <w:r w:rsidRPr="00433484">
        <w:rPr>
          <w:rFonts w:ascii="Arial" w:eastAsia="Times New Roman" w:hAnsi="Arial" w:cs="Arial"/>
          <w:b/>
          <w:bCs/>
          <w:color w:val="161616"/>
          <w:sz w:val="24"/>
          <w:szCs w:val="24"/>
          <w:lang w:eastAsia="en-GB"/>
        </w:rPr>
        <w:t>SUB-CONTRACTING POLICY</w:t>
      </w:r>
    </w:p>
    <w:p w14:paraId="44242F14" w14:textId="77777777" w:rsidR="008C0AD2" w:rsidRDefault="00433484" w:rsidP="00B42FB9">
      <w:pPr>
        <w:spacing w:after="100" w:afterAutospacing="1" w:line="240" w:lineRule="auto"/>
        <w:textAlignment w:val="top"/>
        <w:outlineLvl w:val="1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This policy statement sets out how </w:t>
      </w:r>
      <w:r w:rsidR="006D6111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the service (</w:t>
      </w: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Knowsley FACE</w:t>
      </w:r>
      <w:r w:rsidR="006D6111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)</w:t>
      </w: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 applies funding to </w:t>
      </w:r>
      <w:r w:rsidR="00B42FB9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all sub-contracted </w:t>
      </w: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activity supported with funding from the ESFA.</w:t>
      </w:r>
    </w:p>
    <w:p w14:paraId="3B2EE36A" w14:textId="77777777" w:rsidR="008C0AD2" w:rsidRDefault="000E0E3C" w:rsidP="008C0AD2">
      <w:pPr>
        <w:spacing w:after="100" w:afterAutospacing="1" w:line="240" w:lineRule="auto"/>
        <w:textAlignment w:val="top"/>
        <w:outlineLvl w:val="2"/>
        <w:rPr>
          <w:rFonts w:ascii="Helvetica" w:eastAsia="Times New Roman" w:hAnsi="Helvetica" w:cs="Segoe UI"/>
          <w:b/>
          <w:bCs/>
          <w:color w:val="161616"/>
          <w:sz w:val="27"/>
          <w:szCs w:val="27"/>
          <w:lang w:eastAsia="en-GB"/>
        </w:rPr>
      </w:pPr>
      <w:r w:rsidRPr="000E0E3C">
        <w:rPr>
          <w:rFonts w:ascii="Helvetica" w:eastAsia="Times New Roman" w:hAnsi="Helvetica" w:cs="Segoe UI"/>
          <w:b/>
          <w:bCs/>
          <w:color w:val="161616"/>
          <w:sz w:val="27"/>
          <w:szCs w:val="27"/>
          <w:lang w:eastAsia="en-GB"/>
        </w:rPr>
        <w:t xml:space="preserve"> Overview of Sub-contracting Strategy</w:t>
      </w:r>
    </w:p>
    <w:p w14:paraId="10D7287C" w14:textId="77777777" w:rsidR="008C0AD2" w:rsidRPr="008C0AD2" w:rsidRDefault="00B42FB9" w:rsidP="008C0AD2">
      <w:pPr>
        <w:spacing w:after="100" w:afterAutospacing="1" w:line="240" w:lineRule="auto"/>
        <w:textAlignment w:val="top"/>
        <w:outlineLvl w:val="2"/>
        <w:rPr>
          <w:rFonts w:ascii="Helvetica" w:eastAsia="Times New Roman" w:hAnsi="Helvetica" w:cs="Segoe UI"/>
          <w:b/>
          <w:bCs/>
          <w:color w:val="161616"/>
          <w:sz w:val="27"/>
          <w:szCs w:val="27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The service </w:t>
      </w:r>
      <w:r w:rsidR="008C0AD2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will work with Partner providers who:</w:t>
      </w:r>
    </w:p>
    <w:p w14:paraId="2938E1C2" w14:textId="77777777" w:rsidR="008C0AD2" w:rsidRDefault="008C0AD2" w:rsidP="008C0AD2">
      <w:pPr>
        <w:pStyle w:val="ListParagraph"/>
        <w:numPr>
          <w:ilvl w:val="0"/>
          <w:numId w:val="13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 w:rsidRPr="00A22D9F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can offer curriculum opportunities that the service does not have the capacity to deliver</w:t>
      </w:r>
    </w:p>
    <w:p w14:paraId="0639989C" w14:textId="77777777" w:rsidR="008C0AD2" w:rsidRDefault="008C0AD2" w:rsidP="000E0E3C">
      <w:pPr>
        <w:pStyle w:val="ListParagraph"/>
        <w:numPr>
          <w:ilvl w:val="0"/>
          <w:numId w:val="13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have the ability to engage specific target groups; working with learners with disadvantage postcodes and young people with multiple disadvantage, potential NEET young people</w:t>
      </w:r>
    </w:p>
    <w:p w14:paraId="6AA056EF" w14:textId="15E929B4" w:rsidR="000E0E3C" w:rsidRPr="008C0AD2" w:rsidRDefault="000E0E3C" w:rsidP="008C0AD2">
      <w:p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 w:rsidRPr="008C0AD2">
        <w:rPr>
          <w:rFonts w:ascii="Helvetica" w:eastAsia="Times New Roman" w:hAnsi="Helvetica" w:cs="Segoe UI"/>
          <w:b/>
          <w:bCs/>
          <w:color w:val="161616"/>
          <w:sz w:val="27"/>
          <w:szCs w:val="27"/>
          <w:lang w:eastAsia="en-GB"/>
        </w:rPr>
        <w:t>Su</w:t>
      </w:r>
      <w:r w:rsidR="00D32AAA">
        <w:rPr>
          <w:rFonts w:ascii="Helvetica" w:eastAsia="Times New Roman" w:hAnsi="Helvetica" w:cs="Segoe UI"/>
          <w:b/>
          <w:bCs/>
          <w:color w:val="161616"/>
          <w:sz w:val="27"/>
          <w:szCs w:val="27"/>
          <w:lang w:eastAsia="en-GB"/>
        </w:rPr>
        <w:t>bcontracting priorities for 2021</w:t>
      </w:r>
      <w:r w:rsidRPr="008C0AD2">
        <w:rPr>
          <w:rFonts w:ascii="Helvetica" w:eastAsia="Times New Roman" w:hAnsi="Helvetica" w:cs="Segoe UI"/>
          <w:b/>
          <w:bCs/>
          <w:color w:val="161616"/>
          <w:sz w:val="27"/>
          <w:szCs w:val="27"/>
          <w:lang w:eastAsia="en-GB"/>
        </w:rPr>
        <w:t>/202</w:t>
      </w:r>
      <w:r w:rsidR="00D32AAA">
        <w:rPr>
          <w:rFonts w:ascii="Helvetica" w:eastAsia="Times New Roman" w:hAnsi="Helvetica" w:cs="Segoe UI"/>
          <w:b/>
          <w:bCs/>
          <w:color w:val="161616"/>
          <w:sz w:val="27"/>
          <w:szCs w:val="27"/>
          <w:lang w:eastAsia="en-GB"/>
        </w:rPr>
        <w:t>2</w:t>
      </w:r>
    </w:p>
    <w:p w14:paraId="24340CDB" w14:textId="77777777" w:rsidR="009F6C72" w:rsidRDefault="009F6C72" w:rsidP="000E0E3C">
      <w:p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 w:rsidRPr="009F6C72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T</w:t>
      </w:r>
      <w:r w:rsidR="00B42FB9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he s</w:t>
      </w:r>
      <w:r w:rsidRPr="009F6C72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ervice</w:t>
      </w: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 will work with </w:t>
      </w:r>
      <w:r w:rsidR="008C0AD2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approved </w:t>
      </w: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partners who:</w:t>
      </w:r>
    </w:p>
    <w:p w14:paraId="7BDDF4F6" w14:textId="77777777" w:rsidR="009F6C72" w:rsidRDefault="009B2CBB" w:rsidP="006D6111">
      <w:pPr>
        <w:pStyle w:val="ListParagraph"/>
        <w:numPr>
          <w:ilvl w:val="0"/>
          <w:numId w:val="12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P</w:t>
      </w:r>
      <w:r w:rsidR="009F6C72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rovide strategic opportunities to deliver 16-19 Study Support </w:t>
      </w:r>
      <w:r w:rsidR="006D6111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programmes</w:t>
      </w:r>
    </w:p>
    <w:p w14:paraId="0D0B858B" w14:textId="77777777" w:rsidR="009F6C72" w:rsidRDefault="009B2CBB" w:rsidP="009F6C72">
      <w:pPr>
        <w:pStyle w:val="ListParagraph"/>
        <w:numPr>
          <w:ilvl w:val="0"/>
          <w:numId w:val="12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Will</w:t>
      </w:r>
      <w:r w:rsidR="009F6C72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 deliver high quality provision</w:t>
      </w:r>
    </w:p>
    <w:p w14:paraId="0E0EE8DC" w14:textId="5F5C81CE" w:rsidR="009F6C72" w:rsidRDefault="009B2CBB" w:rsidP="009F6C72">
      <w:pPr>
        <w:pStyle w:val="ListParagraph"/>
        <w:numPr>
          <w:ilvl w:val="0"/>
          <w:numId w:val="12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Will</w:t>
      </w:r>
      <w:r w:rsidR="009F6C72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 support the service to meet local priorities identified within the ‘Knowsley Together’ strategic framework.</w:t>
      </w:r>
    </w:p>
    <w:p w14:paraId="66C36E32" w14:textId="7A95C968" w:rsidR="000E0E3C" w:rsidRDefault="000E0E3C" w:rsidP="009B2CBB">
      <w:pPr>
        <w:spacing w:after="100" w:afterAutospacing="1" w:line="240" w:lineRule="auto"/>
        <w:textAlignment w:val="top"/>
        <w:outlineLvl w:val="2"/>
        <w:rPr>
          <w:rFonts w:ascii="Helvetica" w:eastAsia="Times New Roman" w:hAnsi="Helvetica" w:cs="Segoe UI"/>
          <w:b/>
          <w:bCs/>
          <w:color w:val="161616"/>
          <w:sz w:val="27"/>
          <w:szCs w:val="27"/>
          <w:lang w:eastAsia="en-GB"/>
        </w:rPr>
      </w:pPr>
      <w:r w:rsidRPr="009B2CBB">
        <w:rPr>
          <w:rFonts w:ascii="Helvetica" w:eastAsia="Times New Roman" w:hAnsi="Helvetica" w:cs="Segoe UI"/>
          <w:b/>
          <w:bCs/>
          <w:color w:val="161616"/>
          <w:sz w:val="27"/>
          <w:szCs w:val="27"/>
          <w:lang w:eastAsia="en-GB"/>
        </w:rPr>
        <w:t>Assessing subcontracting opportunities</w:t>
      </w:r>
    </w:p>
    <w:p w14:paraId="72676B86" w14:textId="77777777" w:rsidR="009B2CBB" w:rsidRDefault="009B2CBB" w:rsidP="009B2CBB">
      <w:pPr>
        <w:pStyle w:val="ListParagraph"/>
        <w:numPr>
          <w:ilvl w:val="0"/>
          <w:numId w:val="15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Partner organisation will be subject to due diligence prior to contract approval</w:t>
      </w:r>
    </w:p>
    <w:p w14:paraId="0494DB16" w14:textId="77777777" w:rsidR="009B2CBB" w:rsidRDefault="009B2CBB" w:rsidP="009B2CBB">
      <w:pPr>
        <w:pStyle w:val="ListParagraph"/>
        <w:numPr>
          <w:ilvl w:val="0"/>
          <w:numId w:val="15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Partner organisation must be on the ROTO if approved contract exceeds £100k</w:t>
      </w:r>
    </w:p>
    <w:p w14:paraId="5DA58194" w14:textId="77777777" w:rsidR="009B2CBB" w:rsidRDefault="009B2CBB" w:rsidP="009B2CBB">
      <w:pPr>
        <w:pStyle w:val="ListParagraph"/>
        <w:numPr>
          <w:ilvl w:val="0"/>
          <w:numId w:val="15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Partner organisation must comply with the service and ESFA regulations</w:t>
      </w:r>
    </w:p>
    <w:p w14:paraId="3168F983" w14:textId="77777777" w:rsidR="009B2CBB" w:rsidRDefault="009B2CBB" w:rsidP="009B2CBB">
      <w:pPr>
        <w:pStyle w:val="ListParagraph"/>
        <w:numPr>
          <w:ilvl w:val="0"/>
          <w:numId w:val="15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Partner organisation must meet the minimum standards set by the service</w:t>
      </w:r>
    </w:p>
    <w:p w14:paraId="2338DBE7" w14:textId="77777777" w:rsidR="009B2CBB" w:rsidRDefault="009B2CBB" w:rsidP="009B2CBB">
      <w:pPr>
        <w:pStyle w:val="ListParagraph"/>
        <w:numPr>
          <w:ilvl w:val="0"/>
          <w:numId w:val="15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Partner organisation must demonstrate a minimum of 95% success rate</w:t>
      </w:r>
    </w:p>
    <w:p w14:paraId="5758E111" w14:textId="653B09BD" w:rsidR="00653044" w:rsidRDefault="00653044" w:rsidP="00653044">
      <w:p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61616"/>
          <w:sz w:val="24"/>
          <w:szCs w:val="24"/>
          <w:lang w:eastAsia="en-GB"/>
        </w:rPr>
      </w:pPr>
      <w:bookmarkStart w:id="0" w:name="_GoBack"/>
      <w:bookmarkEnd w:id="0"/>
      <w:r w:rsidRPr="00653044">
        <w:rPr>
          <w:rFonts w:ascii="Arial" w:eastAsia="Times New Roman" w:hAnsi="Arial" w:cs="Arial"/>
          <w:b/>
          <w:bCs/>
          <w:color w:val="161616"/>
          <w:sz w:val="24"/>
          <w:szCs w:val="24"/>
          <w:lang w:eastAsia="en-GB"/>
        </w:rPr>
        <w:lastRenderedPageBreak/>
        <w:t>Fees and Payments</w:t>
      </w:r>
    </w:p>
    <w:p w14:paraId="07BF3334" w14:textId="77777777" w:rsidR="00653044" w:rsidRPr="00653044" w:rsidRDefault="00653044" w:rsidP="00653044">
      <w:pPr>
        <w:pStyle w:val="ListParagraph"/>
        <w:numPr>
          <w:ilvl w:val="0"/>
          <w:numId w:val="17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10% managements costs will be applied to cover monitoring, quality assurance and direct support</w:t>
      </w:r>
    </w:p>
    <w:p w14:paraId="4D1C0631" w14:textId="77777777" w:rsidR="00653044" w:rsidRPr="00653044" w:rsidRDefault="00653044" w:rsidP="00653044">
      <w:pPr>
        <w:pStyle w:val="ListParagraph"/>
        <w:numPr>
          <w:ilvl w:val="0"/>
          <w:numId w:val="17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12% will be retained to meet provider obligations in respect of compliance and performance including submission of a Self- Assessment report on programme completion. </w:t>
      </w:r>
    </w:p>
    <w:p w14:paraId="47265766" w14:textId="77777777" w:rsidR="00653044" w:rsidRPr="00653044" w:rsidRDefault="00653044" w:rsidP="00653044">
      <w:pPr>
        <w:pStyle w:val="ListParagraph"/>
        <w:numPr>
          <w:ilvl w:val="0"/>
          <w:numId w:val="17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Payment will be allocated on a monthly basis </w:t>
      </w:r>
      <w:r w:rsidR="00C07B53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following validation of engagement/attendance </w:t>
      </w:r>
    </w:p>
    <w:p w14:paraId="24F3B67A" w14:textId="77777777" w:rsidR="00C07B53" w:rsidRPr="00C07B53" w:rsidRDefault="00C07B53" w:rsidP="00C07B53">
      <w:pPr>
        <w:pStyle w:val="ListParagraph"/>
        <w:numPr>
          <w:ilvl w:val="0"/>
          <w:numId w:val="17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61616"/>
          <w:sz w:val="24"/>
          <w:szCs w:val="24"/>
          <w:lang w:eastAsia="en-GB"/>
        </w:rPr>
      </w:pPr>
      <w:r w:rsidRPr="00C07B53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Payment terms are 30 days from invoice date</w:t>
      </w:r>
    </w:p>
    <w:p w14:paraId="34AC38AB" w14:textId="77777777" w:rsidR="00C07B53" w:rsidRDefault="00C07B53" w:rsidP="00C07B53">
      <w:p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61616"/>
          <w:sz w:val="24"/>
          <w:szCs w:val="24"/>
          <w:lang w:eastAsia="en-GB"/>
        </w:rPr>
        <w:t>Service Support</w:t>
      </w:r>
    </w:p>
    <w:p w14:paraId="4E06C380" w14:textId="77777777" w:rsidR="00C07B53" w:rsidRDefault="00C07B53" w:rsidP="00C07B53">
      <w:p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 w:rsidRPr="00C07B53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Partner organisation will be subject to quality checks</w:t>
      </w: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. The service will endeavour to provide support and guidance to enhance development to ensure that the provider obligations are met, this will include:</w:t>
      </w:r>
    </w:p>
    <w:p w14:paraId="7486D4FF" w14:textId="77777777" w:rsidR="00C07B53" w:rsidRDefault="00B67691" w:rsidP="00C07B53">
      <w:pPr>
        <w:pStyle w:val="ListParagraph"/>
        <w:numPr>
          <w:ilvl w:val="0"/>
          <w:numId w:val="18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Scheduled quality assurance visits to complete delivery assessment reports</w:t>
      </w:r>
    </w:p>
    <w:p w14:paraId="73A6301F" w14:textId="77777777" w:rsidR="00B67691" w:rsidRDefault="00B67691" w:rsidP="00C07B53">
      <w:pPr>
        <w:pStyle w:val="ListParagraph"/>
        <w:numPr>
          <w:ilvl w:val="0"/>
          <w:numId w:val="18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Unannounced visits to review process and progress</w:t>
      </w:r>
    </w:p>
    <w:p w14:paraId="49910E45" w14:textId="77777777" w:rsidR="00B67691" w:rsidRDefault="00B67691" w:rsidP="00C07B53">
      <w:pPr>
        <w:pStyle w:val="ListParagraph"/>
        <w:numPr>
          <w:ilvl w:val="0"/>
          <w:numId w:val="18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Observation of Teaching, Learning and Assessment visits to review quality of teaching and learning.</w:t>
      </w:r>
    </w:p>
    <w:p w14:paraId="5CDD5464" w14:textId="77777777" w:rsidR="00B67691" w:rsidRDefault="00B67691" w:rsidP="00C07B53">
      <w:pPr>
        <w:pStyle w:val="ListParagraph"/>
        <w:numPr>
          <w:ilvl w:val="0"/>
          <w:numId w:val="18"/>
        </w:num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Review and tracking predicted achievement rates</w:t>
      </w:r>
    </w:p>
    <w:p w14:paraId="31FB6CAD" w14:textId="77777777" w:rsidR="00B67691" w:rsidRDefault="00B67691" w:rsidP="00B67691">
      <w:p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Partner organisation staff will be eligible to access training opportunities/information sharing provided by the service.</w:t>
      </w:r>
    </w:p>
    <w:p w14:paraId="1584F55A" w14:textId="77777777" w:rsidR="00B67691" w:rsidRDefault="00B67691" w:rsidP="00B67691">
      <w:p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C</w:t>
      </w:r>
      <w:r w:rsidRPr="00B67691">
        <w:rPr>
          <w:rFonts w:ascii="Arial" w:eastAsia="Times New Roman" w:hAnsi="Arial" w:cs="Arial"/>
          <w:b/>
          <w:bCs/>
          <w:color w:val="161616"/>
          <w:sz w:val="24"/>
          <w:szCs w:val="24"/>
          <w:lang w:eastAsia="en-GB"/>
        </w:rPr>
        <w:t>ommunication of Policy</w:t>
      </w:r>
    </w:p>
    <w:p w14:paraId="28C542A2" w14:textId="77777777" w:rsidR="00B67691" w:rsidRDefault="00B67691" w:rsidP="00B67691">
      <w:p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The service </w:t>
      </w:r>
      <w:r w:rsidR="006D6111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16-19 Study Support Sub-contracting lead </w:t>
      </w:r>
      <w:r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>will share the sub-contracting policy with partner organisation prior to the start of the academic year</w:t>
      </w:r>
      <w:r w:rsidR="006D6111"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  <w:t xml:space="preserve">. </w:t>
      </w:r>
    </w:p>
    <w:p w14:paraId="3299F886" w14:textId="77777777" w:rsidR="006D6111" w:rsidRDefault="006D6111" w:rsidP="00B67691">
      <w:pPr>
        <w:spacing w:after="100" w:afterAutospacing="1" w:line="240" w:lineRule="auto"/>
        <w:textAlignment w:val="top"/>
        <w:outlineLvl w:val="2"/>
        <w:rPr>
          <w:rFonts w:ascii="Arial" w:eastAsia="Times New Roman" w:hAnsi="Arial" w:cs="Arial"/>
          <w:bCs/>
          <w:color w:val="161616"/>
          <w:sz w:val="24"/>
          <w:szCs w:val="24"/>
          <w:lang w:eastAsia="en-GB"/>
        </w:rPr>
      </w:pPr>
    </w:p>
    <w:p w14:paraId="482A90B4" w14:textId="77777777" w:rsidR="00E435F2" w:rsidRDefault="00E435F2"/>
    <w:sectPr w:rsidR="00E435F2">
      <w:headerReference w:type="even" r:id="rId16"/>
      <w:head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45794" w14:textId="77777777" w:rsidR="006D6111" w:rsidRDefault="006D6111" w:rsidP="006D6111">
      <w:pPr>
        <w:spacing w:after="0" w:line="240" w:lineRule="auto"/>
      </w:pPr>
      <w:r>
        <w:separator/>
      </w:r>
    </w:p>
  </w:endnote>
  <w:endnote w:type="continuationSeparator" w:id="0">
    <w:p w14:paraId="4AD09C76" w14:textId="77777777" w:rsidR="006D6111" w:rsidRDefault="006D6111" w:rsidP="006D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015CC" w14:textId="77777777" w:rsidR="006D6111" w:rsidRDefault="006D6111" w:rsidP="006D6111">
      <w:pPr>
        <w:spacing w:after="0" w:line="240" w:lineRule="auto"/>
      </w:pPr>
      <w:r>
        <w:separator/>
      </w:r>
    </w:p>
  </w:footnote>
  <w:footnote w:type="continuationSeparator" w:id="0">
    <w:p w14:paraId="5FA0E815" w14:textId="77777777" w:rsidR="006D6111" w:rsidRDefault="006D6111" w:rsidP="006D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AFF0" w14:textId="7F9F09F1" w:rsidR="006D6111" w:rsidRDefault="006D6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4F7FF" w14:textId="134D6321" w:rsidR="006D6111" w:rsidRDefault="006D61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C5A0" w14:textId="24D7A343" w:rsidR="006D6111" w:rsidRDefault="006D6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175"/>
    <w:multiLevelType w:val="multilevel"/>
    <w:tmpl w:val="2C0C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819D6"/>
    <w:multiLevelType w:val="multilevel"/>
    <w:tmpl w:val="B7E0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47603"/>
    <w:multiLevelType w:val="hybridMultilevel"/>
    <w:tmpl w:val="39526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662E"/>
    <w:multiLevelType w:val="multilevel"/>
    <w:tmpl w:val="876C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C6CD8"/>
    <w:multiLevelType w:val="multilevel"/>
    <w:tmpl w:val="B0C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2117E"/>
    <w:multiLevelType w:val="hybridMultilevel"/>
    <w:tmpl w:val="6D946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13C54"/>
    <w:multiLevelType w:val="hybridMultilevel"/>
    <w:tmpl w:val="380A4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7C4C"/>
    <w:multiLevelType w:val="multilevel"/>
    <w:tmpl w:val="9A0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D0151"/>
    <w:multiLevelType w:val="multilevel"/>
    <w:tmpl w:val="7774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AF3841"/>
    <w:multiLevelType w:val="hybridMultilevel"/>
    <w:tmpl w:val="BA72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77BC"/>
    <w:multiLevelType w:val="multilevel"/>
    <w:tmpl w:val="5BBC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86511"/>
    <w:multiLevelType w:val="hybridMultilevel"/>
    <w:tmpl w:val="2630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A5FE5"/>
    <w:multiLevelType w:val="multilevel"/>
    <w:tmpl w:val="4414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B30B4"/>
    <w:multiLevelType w:val="hybridMultilevel"/>
    <w:tmpl w:val="6B3E8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A75"/>
    <w:multiLevelType w:val="multilevel"/>
    <w:tmpl w:val="6DF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4405C8"/>
    <w:multiLevelType w:val="hybridMultilevel"/>
    <w:tmpl w:val="F11A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A5196"/>
    <w:multiLevelType w:val="multilevel"/>
    <w:tmpl w:val="7C6A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51AE7"/>
    <w:multiLevelType w:val="multilevel"/>
    <w:tmpl w:val="ACD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14"/>
  </w:num>
  <w:num w:numId="9">
    <w:abstractNumId w:val="3"/>
  </w:num>
  <w:num w:numId="10">
    <w:abstractNumId w:val="8"/>
  </w:num>
  <w:num w:numId="11">
    <w:abstractNumId w:val="17"/>
  </w:num>
  <w:num w:numId="12">
    <w:abstractNumId w:val="9"/>
  </w:num>
  <w:num w:numId="13">
    <w:abstractNumId w:val="13"/>
  </w:num>
  <w:num w:numId="14">
    <w:abstractNumId w:val="2"/>
  </w:num>
  <w:num w:numId="15">
    <w:abstractNumId w:val="15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3C"/>
    <w:rsid w:val="000E0E3C"/>
    <w:rsid w:val="000E21C7"/>
    <w:rsid w:val="000F6F18"/>
    <w:rsid w:val="00433484"/>
    <w:rsid w:val="005C3009"/>
    <w:rsid w:val="005E7193"/>
    <w:rsid w:val="00600060"/>
    <w:rsid w:val="006301F2"/>
    <w:rsid w:val="00653044"/>
    <w:rsid w:val="006D420F"/>
    <w:rsid w:val="006D6111"/>
    <w:rsid w:val="00710922"/>
    <w:rsid w:val="008C0AD2"/>
    <w:rsid w:val="009B2CBB"/>
    <w:rsid w:val="009F6C72"/>
    <w:rsid w:val="00A22D9F"/>
    <w:rsid w:val="00B42FB9"/>
    <w:rsid w:val="00B54345"/>
    <w:rsid w:val="00B67691"/>
    <w:rsid w:val="00C07B53"/>
    <w:rsid w:val="00D14423"/>
    <w:rsid w:val="00D32AAA"/>
    <w:rsid w:val="00E435F2"/>
    <w:rsid w:val="00E86C82"/>
    <w:rsid w:val="00F8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727E3C"/>
  <w15:chartTrackingRefBased/>
  <w15:docId w15:val="{FD8F7D03-0E16-4A02-B7FA-3FC09F88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0E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E0E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F6C7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D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6111"/>
  </w:style>
  <w:style w:type="paragraph" w:styleId="Footer">
    <w:name w:val="footer"/>
    <w:basedOn w:val="Normal"/>
    <w:link w:val="FooterChar"/>
    <w:uiPriority w:val="99"/>
    <w:unhideWhenUsed/>
    <w:rsid w:val="006D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11"/>
  </w:style>
  <w:style w:type="table" w:styleId="TableGrid">
    <w:name w:val="Table Grid"/>
    <w:basedOn w:val="TableNormal"/>
    <w:uiPriority w:val="59"/>
    <w:rsid w:val="00E8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iverpoolcityregion-ca.gov.u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34.png@01D7A024.5BA2C6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2610a33-0298-4da0-85e8-7aa28ace60cf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BD2E8D6B421458E7D01C404AA83A7" ma:contentTypeVersion="1" ma:contentTypeDescription="Create a new document." ma:contentTypeScope="" ma:versionID="2a6be7fcf2288309d98440ed3cb2c5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F12D-F0BC-4360-B4C2-3BB90341FA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5E55042-D9C7-4FEB-9F7D-EA063C210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2EF19C-B677-45E8-96C5-7B73B727DE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CE6BE-CC32-402B-8B3F-99F8B08D12D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7946CDC-C9CA-4740-A91C-C2568484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Feerick, Sandra</dc:creator>
  <cp:keywords/>
  <dc:description/>
  <cp:lastModifiedBy>Evans-Rittenberg, Tracey</cp:lastModifiedBy>
  <cp:revision>2</cp:revision>
  <dcterms:created xsi:type="dcterms:W3CDTF">2021-10-05T15:43:00Z</dcterms:created>
  <dcterms:modified xsi:type="dcterms:W3CDTF">2021-10-05T15:43:00Z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0x010100FD2BD2E8D6B421458E7D01C404AA83A7</vt:lpwstr>
  </property>
</Properties>
</file>