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89F8" w14:textId="77777777" w:rsidR="000E0E3C" w:rsidRDefault="000E0E3C" w:rsidP="000E0E3C">
      <w:pPr>
        <w:spacing w:after="100" w:afterAutospacing="1" w:line="240" w:lineRule="auto"/>
        <w:textAlignment w:val="top"/>
        <w:outlineLvl w:val="1"/>
        <w:rPr>
          <w:rFonts w:ascii="Helvetica" w:eastAsia="Times New Roman" w:hAnsi="Helvetica" w:cs="Segoe UI"/>
          <w:b/>
          <w:bCs/>
          <w:color w:val="161616"/>
          <w:sz w:val="36"/>
          <w:szCs w:val="36"/>
          <w:lang w:eastAsia="en-GB"/>
        </w:rPr>
      </w:pPr>
      <w:r w:rsidRPr="00EF0297">
        <w:rPr>
          <w:rFonts w:ascii="ArialMT,Bold" w:hAnsi="ArialMT,Bold" w:cs="ArialMT,Bold"/>
          <w:b/>
          <w:bCs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881CD23" wp14:editId="3E97579A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1447800" cy="974090"/>
            <wp:effectExtent l="0" t="0" r="0" b="0"/>
            <wp:wrapSquare wrapText="bothSides"/>
            <wp:docPr id="33" name="Picture 139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D6B9D" w14:textId="77777777" w:rsidR="00E86C82" w:rsidRDefault="00E86C82" w:rsidP="00E86C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9DF33E2" w14:textId="77777777" w:rsidR="00E86C82" w:rsidRDefault="00E86C82" w:rsidP="00E86C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C682132" w14:textId="77777777" w:rsidR="00E86C82" w:rsidRDefault="00E86C82" w:rsidP="00E86C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14:paraId="676328E5" w14:textId="72D62576" w:rsidR="00E86C82" w:rsidRPr="00E86C82" w:rsidRDefault="00E86C82" w:rsidP="00E86C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86C82">
        <w:rPr>
          <w:rFonts w:ascii="Arial" w:eastAsia="Times New Roman" w:hAnsi="Arial" w:cs="Arial"/>
          <w:b/>
          <w:sz w:val="32"/>
          <w:szCs w:val="32"/>
        </w:rPr>
        <w:t>Knowsley FACE</w:t>
      </w:r>
    </w:p>
    <w:p w14:paraId="6224CA42" w14:textId="77777777" w:rsidR="00E86C82" w:rsidRPr="00E86C82" w:rsidRDefault="00E86C82" w:rsidP="00E86C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70237D" w14:textId="77777777" w:rsidR="00E86C82" w:rsidRPr="00E86C82" w:rsidRDefault="00E86C82" w:rsidP="00E86C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3114"/>
        <w:gridCol w:w="4961"/>
      </w:tblGrid>
      <w:tr w:rsidR="00E86C82" w:rsidRPr="00E86C82" w14:paraId="30177C9E" w14:textId="77777777" w:rsidTr="00BB1F3A">
        <w:tc>
          <w:tcPr>
            <w:tcW w:w="3114" w:type="dxa"/>
          </w:tcPr>
          <w:p w14:paraId="410E4043" w14:textId="77777777" w:rsidR="00E86C82" w:rsidRPr="00E86C82" w:rsidRDefault="00E86C82" w:rsidP="00E86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C82">
              <w:rPr>
                <w:rFonts w:ascii="Arial" w:hAnsi="Arial" w:cs="Arial"/>
                <w:b/>
                <w:bCs/>
                <w:sz w:val="24"/>
                <w:szCs w:val="24"/>
              </w:rPr>
              <w:t>Policy:</w:t>
            </w:r>
          </w:p>
        </w:tc>
        <w:tc>
          <w:tcPr>
            <w:tcW w:w="4961" w:type="dxa"/>
          </w:tcPr>
          <w:p w14:paraId="5AC4199D" w14:textId="4A897C7D" w:rsidR="00E86C82" w:rsidRPr="00E86C82" w:rsidRDefault="00E86C82" w:rsidP="00E86C8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Sub-Contracting</w:t>
            </w:r>
          </w:p>
        </w:tc>
      </w:tr>
      <w:tr w:rsidR="00E86C82" w:rsidRPr="00E86C82" w14:paraId="6B2DBB39" w14:textId="77777777" w:rsidTr="00BB1F3A">
        <w:tc>
          <w:tcPr>
            <w:tcW w:w="3114" w:type="dxa"/>
          </w:tcPr>
          <w:p w14:paraId="10149869" w14:textId="77777777" w:rsidR="00E86C82" w:rsidRPr="00E86C82" w:rsidRDefault="00E86C82" w:rsidP="00E86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C82">
              <w:rPr>
                <w:rFonts w:ascii="Arial" w:hAnsi="Arial" w:cs="Arial"/>
                <w:b/>
                <w:bCs/>
                <w:sz w:val="24"/>
                <w:szCs w:val="24"/>
              </w:rPr>
              <w:t>Date created:</w:t>
            </w:r>
          </w:p>
        </w:tc>
        <w:tc>
          <w:tcPr>
            <w:tcW w:w="4961" w:type="dxa"/>
          </w:tcPr>
          <w:p w14:paraId="0127B3EA" w14:textId="77777777" w:rsidR="00E86C82" w:rsidRPr="00E86C82" w:rsidRDefault="00E86C82" w:rsidP="00E86C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6C82">
              <w:rPr>
                <w:rFonts w:ascii="Arial" w:hAnsi="Arial" w:cs="Arial"/>
                <w:bCs/>
                <w:sz w:val="24"/>
                <w:szCs w:val="24"/>
              </w:rPr>
              <w:t xml:space="preserve">August 2020 </w:t>
            </w:r>
          </w:p>
        </w:tc>
      </w:tr>
      <w:tr w:rsidR="00E86C82" w:rsidRPr="00E86C82" w14:paraId="724CA4F9" w14:textId="77777777" w:rsidTr="00BB1F3A">
        <w:tc>
          <w:tcPr>
            <w:tcW w:w="3114" w:type="dxa"/>
          </w:tcPr>
          <w:p w14:paraId="547461C8" w14:textId="77777777" w:rsidR="00E86C82" w:rsidRPr="00E86C82" w:rsidRDefault="00E86C82" w:rsidP="00E86C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6C82">
              <w:rPr>
                <w:rFonts w:ascii="Arial" w:hAnsi="Arial" w:cs="Arial"/>
                <w:b/>
                <w:bCs/>
                <w:sz w:val="24"/>
                <w:szCs w:val="24"/>
              </w:rPr>
              <w:t>Date to be renewed:</w:t>
            </w:r>
          </w:p>
        </w:tc>
        <w:tc>
          <w:tcPr>
            <w:tcW w:w="4961" w:type="dxa"/>
          </w:tcPr>
          <w:p w14:paraId="0FD82694" w14:textId="77777777" w:rsidR="00E86C82" w:rsidRPr="00E86C82" w:rsidRDefault="00E86C82" w:rsidP="00E86C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6C82">
              <w:rPr>
                <w:rFonts w:ascii="Arial" w:hAnsi="Arial" w:cs="Arial"/>
                <w:bCs/>
                <w:sz w:val="24"/>
                <w:szCs w:val="24"/>
              </w:rPr>
              <w:t>August 2021</w:t>
            </w:r>
          </w:p>
        </w:tc>
      </w:tr>
    </w:tbl>
    <w:p w14:paraId="52754CD6" w14:textId="77777777" w:rsidR="00E86C82" w:rsidRPr="0026063A" w:rsidRDefault="00E86C82" w:rsidP="000E0E3C">
      <w:pPr>
        <w:rPr>
          <w:rFonts w:cs="Arial"/>
          <w:bCs/>
        </w:rPr>
      </w:pPr>
    </w:p>
    <w:p w14:paraId="3361A5D8" w14:textId="77777777" w:rsidR="000E0E3C" w:rsidRDefault="00433484" w:rsidP="000E0E3C">
      <w:pPr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 w:rsidRPr="00433484"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  <w:t>SUB-CONTRACTING POLICY</w:t>
      </w:r>
    </w:p>
    <w:p w14:paraId="44242F14" w14:textId="77777777" w:rsidR="008C0AD2" w:rsidRDefault="00433484" w:rsidP="00B42FB9">
      <w:pPr>
        <w:spacing w:after="100" w:afterAutospacing="1" w:line="240" w:lineRule="auto"/>
        <w:textAlignment w:val="top"/>
        <w:outlineLvl w:val="1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This policy statement sets out how </w:t>
      </w:r>
      <w:r w:rsidR="006D6111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the service (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Knowsley FACE</w:t>
      </w:r>
      <w:r w:rsidR="006D6111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 applies funding to </w:t>
      </w:r>
      <w:r w:rsidR="00B42FB9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all sub-contracted 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activity supported with funding from the ESFA.</w:t>
      </w:r>
    </w:p>
    <w:p w14:paraId="3B2EE36A" w14:textId="77777777" w:rsidR="008C0AD2" w:rsidRDefault="000E0E3C" w:rsidP="008C0AD2">
      <w:pPr>
        <w:spacing w:after="100" w:afterAutospacing="1" w:line="240" w:lineRule="auto"/>
        <w:textAlignment w:val="top"/>
        <w:outlineLvl w:val="2"/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</w:pPr>
      <w:r w:rsidRPr="000E0E3C"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  <w:t xml:space="preserve"> Overview of Sub-contracting Strategy</w:t>
      </w:r>
    </w:p>
    <w:p w14:paraId="10D7287C" w14:textId="77777777" w:rsidR="008C0AD2" w:rsidRPr="008C0AD2" w:rsidRDefault="00B42FB9" w:rsidP="008C0AD2">
      <w:pPr>
        <w:spacing w:after="100" w:afterAutospacing="1" w:line="240" w:lineRule="auto"/>
        <w:textAlignment w:val="top"/>
        <w:outlineLvl w:val="2"/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The service </w:t>
      </w:r>
      <w:r w:rsidR="008C0AD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will work with Partner providers who:</w:t>
      </w:r>
    </w:p>
    <w:p w14:paraId="2938E1C2" w14:textId="77777777" w:rsidR="008C0AD2" w:rsidRDefault="008C0AD2" w:rsidP="008C0AD2">
      <w:pPr>
        <w:pStyle w:val="ListParagraph"/>
        <w:numPr>
          <w:ilvl w:val="0"/>
          <w:numId w:val="13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 w:rsidRPr="00A22D9F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can offer curriculum opportunities that the service does not have the capacity to deliver</w:t>
      </w:r>
    </w:p>
    <w:p w14:paraId="0639989C" w14:textId="77777777" w:rsidR="008C0AD2" w:rsidRDefault="008C0AD2" w:rsidP="000E0E3C">
      <w:pPr>
        <w:pStyle w:val="ListParagraph"/>
        <w:numPr>
          <w:ilvl w:val="0"/>
          <w:numId w:val="13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have the ability to engage specific target groups; working with learners with disadvantage postcodes and young people with multiple disadvantage, potential NEET young people</w:t>
      </w:r>
    </w:p>
    <w:p w14:paraId="6AA056EF" w14:textId="77777777" w:rsidR="000E0E3C" w:rsidRPr="008C0AD2" w:rsidRDefault="000E0E3C" w:rsidP="008C0AD2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 w:rsidRPr="008C0AD2"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  <w:t>Subcontracting priorities for 2020/2021</w:t>
      </w:r>
    </w:p>
    <w:p w14:paraId="24340CDB" w14:textId="77777777" w:rsidR="009F6C72" w:rsidRDefault="009F6C72" w:rsidP="000E0E3C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 w:rsidRP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T</w:t>
      </w:r>
      <w:r w:rsidR="00B42FB9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he s</w:t>
      </w:r>
      <w:r w:rsidRP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ervice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 will work with </w:t>
      </w:r>
      <w:r w:rsidR="008C0AD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approved 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partners who:</w:t>
      </w:r>
    </w:p>
    <w:p w14:paraId="7BDDF4F6" w14:textId="77777777" w:rsidR="009F6C72" w:rsidRDefault="009B2CBB" w:rsidP="006D6111">
      <w:pPr>
        <w:pStyle w:val="ListParagraph"/>
        <w:numPr>
          <w:ilvl w:val="0"/>
          <w:numId w:val="12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</w:t>
      </w:r>
      <w:r w:rsid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rovide strategic opportunities to deliver 16-19 Study Support </w:t>
      </w:r>
      <w:r w:rsidR="006D6111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programmes</w:t>
      </w:r>
    </w:p>
    <w:p w14:paraId="0D0B858B" w14:textId="77777777" w:rsidR="009F6C72" w:rsidRDefault="009B2CBB" w:rsidP="009F6C72">
      <w:pPr>
        <w:pStyle w:val="ListParagraph"/>
        <w:numPr>
          <w:ilvl w:val="0"/>
          <w:numId w:val="12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Will</w:t>
      </w:r>
      <w:r w:rsid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 deliver high quality provision</w:t>
      </w:r>
    </w:p>
    <w:p w14:paraId="0E0EE8DC" w14:textId="77777777" w:rsidR="009F6C72" w:rsidRDefault="009B2CBB" w:rsidP="009F6C72">
      <w:pPr>
        <w:pStyle w:val="ListParagraph"/>
        <w:numPr>
          <w:ilvl w:val="0"/>
          <w:numId w:val="12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Will</w:t>
      </w:r>
      <w:r w:rsid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 support the service to meet local priorities identified within the ‘Knowsley Together’ strategic frame</w:t>
      </w:r>
      <w:r w:rsidR="00A22D9F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-</w:t>
      </w:r>
      <w:r w:rsid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work.</w:t>
      </w:r>
    </w:p>
    <w:p w14:paraId="6D07FEB6" w14:textId="77777777" w:rsidR="009B2CBB" w:rsidRPr="009B2CBB" w:rsidRDefault="009B2CBB" w:rsidP="009B2CBB">
      <w:pPr>
        <w:pStyle w:val="ListParagraph"/>
        <w:numPr>
          <w:ilvl w:val="0"/>
          <w:numId w:val="12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Will</w:t>
      </w:r>
      <w:r w:rsidR="009F6C72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 support and underpin the skills needed for economic recovery in response to the impact of Covid-19 pandemic.</w:t>
      </w:r>
    </w:p>
    <w:p w14:paraId="66C36E32" w14:textId="77777777" w:rsidR="000E0E3C" w:rsidRDefault="000E0E3C" w:rsidP="009B2CBB">
      <w:pPr>
        <w:spacing w:after="100" w:afterAutospacing="1" w:line="240" w:lineRule="auto"/>
        <w:textAlignment w:val="top"/>
        <w:outlineLvl w:val="2"/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</w:pPr>
      <w:r w:rsidRPr="009B2CBB">
        <w:rPr>
          <w:rFonts w:ascii="Helvetica" w:eastAsia="Times New Roman" w:hAnsi="Helvetica" w:cs="Segoe UI"/>
          <w:b/>
          <w:bCs/>
          <w:color w:val="161616"/>
          <w:sz w:val="27"/>
          <w:szCs w:val="27"/>
          <w:lang w:eastAsia="en-GB"/>
        </w:rPr>
        <w:t xml:space="preserve"> Assessing subcontracting opportunities</w:t>
      </w:r>
    </w:p>
    <w:p w14:paraId="72676B86" w14:textId="77777777" w:rsidR="009B2CBB" w:rsidRDefault="009B2CBB" w:rsidP="009B2CBB">
      <w:pPr>
        <w:pStyle w:val="ListParagraph"/>
        <w:numPr>
          <w:ilvl w:val="0"/>
          <w:numId w:val="15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will be subject to due diligence prior to contract approval</w:t>
      </w:r>
    </w:p>
    <w:p w14:paraId="0494DB16" w14:textId="77777777" w:rsidR="009B2CBB" w:rsidRDefault="009B2CBB" w:rsidP="009B2CBB">
      <w:pPr>
        <w:pStyle w:val="ListParagraph"/>
        <w:numPr>
          <w:ilvl w:val="0"/>
          <w:numId w:val="15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must be on the ROTO if approved contract exceeds £100k</w:t>
      </w:r>
    </w:p>
    <w:p w14:paraId="5DA58194" w14:textId="77777777" w:rsidR="009B2CBB" w:rsidRDefault="009B2CBB" w:rsidP="009B2CBB">
      <w:pPr>
        <w:pStyle w:val="ListParagraph"/>
        <w:numPr>
          <w:ilvl w:val="0"/>
          <w:numId w:val="15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must comply with the service and ESFA regulations</w:t>
      </w:r>
    </w:p>
    <w:p w14:paraId="3168F983" w14:textId="77777777" w:rsidR="009B2CBB" w:rsidRDefault="009B2CBB" w:rsidP="009B2CBB">
      <w:pPr>
        <w:pStyle w:val="ListParagraph"/>
        <w:numPr>
          <w:ilvl w:val="0"/>
          <w:numId w:val="15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must meet the minimum standards set by the service</w:t>
      </w:r>
    </w:p>
    <w:p w14:paraId="2338DBE7" w14:textId="77777777" w:rsidR="009B2CBB" w:rsidRDefault="009B2CBB" w:rsidP="009B2CBB">
      <w:pPr>
        <w:pStyle w:val="ListParagraph"/>
        <w:numPr>
          <w:ilvl w:val="0"/>
          <w:numId w:val="15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must demonstrate a minimum of 95% success rate</w:t>
      </w:r>
    </w:p>
    <w:p w14:paraId="5758E111" w14:textId="77777777" w:rsidR="00653044" w:rsidRDefault="00653044" w:rsidP="00653044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 w:rsidRPr="00653044"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  <w:lastRenderedPageBreak/>
        <w:t>Fees and Payments</w:t>
      </w:r>
    </w:p>
    <w:p w14:paraId="07BF3334" w14:textId="77777777" w:rsidR="00653044" w:rsidRPr="00653044" w:rsidRDefault="00653044" w:rsidP="00653044">
      <w:pPr>
        <w:pStyle w:val="ListParagraph"/>
        <w:numPr>
          <w:ilvl w:val="0"/>
          <w:numId w:val="17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10% managements costs will be applied to cover monitoring, quality assurance and direct support</w:t>
      </w:r>
    </w:p>
    <w:p w14:paraId="4D1C0631" w14:textId="77777777" w:rsidR="00653044" w:rsidRPr="00653044" w:rsidRDefault="00653044" w:rsidP="00653044">
      <w:pPr>
        <w:pStyle w:val="ListParagraph"/>
        <w:numPr>
          <w:ilvl w:val="0"/>
          <w:numId w:val="17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12% will be retained to meet provider obligations in respect of compliance and performance including submission of a Self- Assessment report on programme completion. </w:t>
      </w:r>
    </w:p>
    <w:p w14:paraId="47265766" w14:textId="77777777" w:rsidR="00653044" w:rsidRPr="00653044" w:rsidRDefault="00653044" w:rsidP="00653044">
      <w:pPr>
        <w:pStyle w:val="ListParagraph"/>
        <w:numPr>
          <w:ilvl w:val="0"/>
          <w:numId w:val="17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Payment will be allocated on a monthly basis </w:t>
      </w:r>
      <w:r w:rsidR="00C07B53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following validation of engagement/attendance </w:t>
      </w:r>
    </w:p>
    <w:p w14:paraId="24F3B67A" w14:textId="77777777" w:rsidR="00C07B53" w:rsidRPr="00C07B53" w:rsidRDefault="00C07B53" w:rsidP="00C07B53">
      <w:pPr>
        <w:pStyle w:val="ListParagraph"/>
        <w:numPr>
          <w:ilvl w:val="0"/>
          <w:numId w:val="17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 w:rsidRPr="00C07B53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Payment terms are 30 days from invoice date</w:t>
      </w:r>
    </w:p>
    <w:p w14:paraId="34AC38AB" w14:textId="77777777" w:rsidR="00C07B53" w:rsidRDefault="00C07B53" w:rsidP="00C07B53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  <w:t>Service Support</w:t>
      </w:r>
    </w:p>
    <w:p w14:paraId="4E06C380" w14:textId="77777777" w:rsidR="00C07B53" w:rsidRDefault="00C07B53" w:rsidP="00C07B53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 w:rsidRPr="00C07B53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will be subject to quality checks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. The service will endeavour to provide support and guidance to enhance development to ensure that the provider obligations are met, this will include:</w:t>
      </w:r>
    </w:p>
    <w:p w14:paraId="7486D4FF" w14:textId="77777777" w:rsidR="00C07B53" w:rsidRDefault="00B67691" w:rsidP="00C07B53">
      <w:pPr>
        <w:pStyle w:val="ListParagraph"/>
        <w:numPr>
          <w:ilvl w:val="0"/>
          <w:numId w:val="18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Scheduled quality assurance visits to complete delivery assessment reports</w:t>
      </w:r>
    </w:p>
    <w:p w14:paraId="73A6301F" w14:textId="77777777" w:rsidR="00B67691" w:rsidRDefault="00B67691" w:rsidP="00C07B53">
      <w:pPr>
        <w:pStyle w:val="ListParagraph"/>
        <w:numPr>
          <w:ilvl w:val="0"/>
          <w:numId w:val="18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Unannounced visits to review process and progress</w:t>
      </w:r>
    </w:p>
    <w:p w14:paraId="49910E45" w14:textId="77777777" w:rsidR="00B67691" w:rsidRDefault="00B67691" w:rsidP="00C07B53">
      <w:pPr>
        <w:pStyle w:val="ListParagraph"/>
        <w:numPr>
          <w:ilvl w:val="0"/>
          <w:numId w:val="18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Observation of Teaching, Learning and Assessment visits to review quality of teaching and learning.</w:t>
      </w:r>
    </w:p>
    <w:p w14:paraId="5CDD5464" w14:textId="77777777" w:rsidR="00B67691" w:rsidRDefault="00B67691" w:rsidP="00C07B53">
      <w:pPr>
        <w:pStyle w:val="ListParagraph"/>
        <w:numPr>
          <w:ilvl w:val="0"/>
          <w:numId w:val="18"/>
        </w:num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Review and tracking predicted achievement rates</w:t>
      </w:r>
    </w:p>
    <w:p w14:paraId="31FB6CAD" w14:textId="77777777" w:rsidR="00B67691" w:rsidRDefault="00B67691" w:rsidP="00B67691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Partner organisation staff will be eligible to access training opportunities/information sharing provided by the service.</w:t>
      </w:r>
    </w:p>
    <w:p w14:paraId="1584F55A" w14:textId="77777777" w:rsidR="00B67691" w:rsidRDefault="00B67691" w:rsidP="00B67691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C</w:t>
      </w:r>
      <w:r w:rsidRPr="00B67691">
        <w:rPr>
          <w:rFonts w:ascii="Arial" w:eastAsia="Times New Roman" w:hAnsi="Arial" w:cs="Arial"/>
          <w:b/>
          <w:bCs/>
          <w:color w:val="161616"/>
          <w:sz w:val="24"/>
          <w:szCs w:val="24"/>
          <w:lang w:eastAsia="en-GB"/>
        </w:rPr>
        <w:t>ommunication of Policy</w:t>
      </w:r>
    </w:p>
    <w:p w14:paraId="28C542A2" w14:textId="77777777" w:rsidR="00B67691" w:rsidRDefault="00B67691" w:rsidP="00B67691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The service </w:t>
      </w:r>
      <w:r w:rsidR="006D6111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16-19 Study Support Sub-contracting lead </w:t>
      </w:r>
      <w:r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>will share the sub-contracting policy with partner organisation prior to the start of the academic year</w:t>
      </w:r>
      <w:r w:rsidR="006D6111"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  <w:t xml:space="preserve">. </w:t>
      </w:r>
    </w:p>
    <w:p w14:paraId="3299F886" w14:textId="77777777" w:rsidR="006D6111" w:rsidRDefault="006D6111" w:rsidP="00B67691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Cs/>
          <w:color w:val="161616"/>
          <w:sz w:val="24"/>
          <w:szCs w:val="24"/>
          <w:lang w:eastAsia="en-GB"/>
        </w:rPr>
      </w:pPr>
    </w:p>
    <w:p w14:paraId="482A90B4" w14:textId="77777777" w:rsidR="00E435F2" w:rsidRDefault="00E435F2"/>
    <w:sectPr w:rsidR="00E435F2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45794" w14:textId="77777777" w:rsidR="006D6111" w:rsidRDefault="006D6111" w:rsidP="006D6111">
      <w:pPr>
        <w:spacing w:after="0" w:line="240" w:lineRule="auto"/>
      </w:pPr>
      <w:r>
        <w:separator/>
      </w:r>
    </w:p>
  </w:endnote>
  <w:endnote w:type="continuationSeparator" w:id="0">
    <w:p w14:paraId="4AD09C76" w14:textId="77777777" w:rsidR="006D6111" w:rsidRDefault="006D6111" w:rsidP="006D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15CC" w14:textId="77777777" w:rsidR="006D6111" w:rsidRDefault="006D6111" w:rsidP="006D6111">
      <w:pPr>
        <w:spacing w:after="0" w:line="240" w:lineRule="auto"/>
      </w:pPr>
      <w:r>
        <w:separator/>
      </w:r>
    </w:p>
  </w:footnote>
  <w:footnote w:type="continuationSeparator" w:id="0">
    <w:p w14:paraId="5FA0E815" w14:textId="77777777" w:rsidR="006D6111" w:rsidRDefault="006D6111" w:rsidP="006D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1AFF0" w14:textId="77777777" w:rsidR="006D6111" w:rsidRDefault="000F6F18">
    <w:pPr>
      <w:pStyle w:val="Header"/>
    </w:pPr>
    <w:r>
      <w:rPr>
        <w:noProof/>
      </w:rPr>
      <w:pict w14:anchorId="00C779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9360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F7FF" w14:textId="77777777" w:rsidR="006D6111" w:rsidRDefault="000F6F18">
    <w:pPr>
      <w:pStyle w:val="Header"/>
    </w:pPr>
    <w:r>
      <w:rPr>
        <w:noProof/>
      </w:rPr>
      <w:pict w14:anchorId="188A9D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9361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C5A0" w14:textId="77777777" w:rsidR="006D6111" w:rsidRDefault="000F6F18">
    <w:pPr>
      <w:pStyle w:val="Header"/>
    </w:pPr>
    <w:r>
      <w:rPr>
        <w:noProof/>
      </w:rPr>
      <w:pict w14:anchorId="0D9E8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9359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175"/>
    <w:multiLevelType w:val="multilevel"/>
    <w:tmpl w:val="2C0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819D6"/>
    <w:multiLevelType w:val="multilevel"/>
    <w:tmpl w:val="B7E0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47603"/>
    <w:multiLevelType w:val="hybridMultilevel"/>
    <w:tmpl w:val="3952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662E"/>
    <w:multiLevelType w:val="multilevel"/>
    <w:tmpl w:val="876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C6CD8"/>
    <w:multiLevelType w:val="multilevel"/>
    <w:tmpl w:val="B0C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2117E"/>
    <w:multiLevelType w:val="hybridMultilevel"/>
    <w:tmpl w:val="6D94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3C54"/>
    <w:multiLevelType w:val="hybridMultilevel"/>
    <w:tmpl w:val="380A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77C4C"/>
    <w:multiLevelType w:val="multilevel"/>
    <w:tmpl w:val="9A08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D0151"/>
    <w:multiLevelType w:val="multilevel"/>
    <w:tmpl w:val="777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F3841"/>
    <w:multiLevelType w:val="hybridMultilevel"/>
    <w:tmpl w:val="BA72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77BC"/>
    <w:multiLevelType w:val="multilevel"/>
    <w:tmpl w:val="5BBC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86511"/>
    <w:multiLevelType w:val="hybridMultilevel"/>
    <w:tmpl w:val="2630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A5FE5"/>
    <w:multiLevelType w:val="multilevel"/>
    <w:tmpl w:val="4414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B30B4"/>
    <w:multiLevelType w:val="hybridMultilevel"/>
    <w:tmpl w:val="6B3E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A75"/>
    <w:multiLevelType w:val="multilevel"/>
    <w:tmpl w:val="6DF8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405C8"/>
    <w:multiLevelType w:val="hybridMultilevel"/>
    <w:tmpl w:val="F11A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A5196"/>
    <w:multiLevelType w:val="multilevel"/>
    <w:tmpl w:val="7C6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51AE7"/>
    <w:multiLevelType w:val="multilevel"/>
    <w:tmpl w:val="ACD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4"/>
  </w:num>
  <w:num w:numId="9">
    <w:abstractNumId w:val="3"/>
  </w:num>
  <w:num w:numId="10">
    <w:abstractNumId w:val="8"/>
  </w:num>
  <w:num w:numId="11">
    <w:abstractNumId w:val="17"/>
  </w:num>
  <w:num w:numId="12">
    <w:abstractNumId w:val="9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3C"/>
    <w:rsid w:val="000E0E3C"/>
    <w:rsid w:val="000E21C7"/>
    <w:rsid w:val="000F6F18"/>
    <w:rsid w:val="00433484"/>
    <w:rsid w:val="005C3009"/>
    <w:rsid w:val="005E7193"/>
    <w:rsid w:val="00653044"/>
    <w:rsid w:val="006D6111"/>
    <w:rsid w:val="008C0AD2"/>
    <w:rsid w:val="009B2CBB"/>
    <w:rsid w:val="009F6C72"/>
    <w:rsid w:val="00A22D9F"/>
    <w:rsid w:val="00B42FB9"/>
    <w:rsid w:val="00B67691"/>
    <w:rsid w:val="00C07B53"/>
    <w:rsid w:val="00E435F2"/>
    <w:rsid w:val="00E86C82"/>
    <w:rsid w:val="00F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727E3C"/>
  <w15:chartTrackingRefBased/>
  <w15:docId w15:val="{FD8F7D03-0E16-4A02-B7FA-3FC09F88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E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11"/>
  </w:style>
  <w:style w:type="paragraph" w:styleId="Footer">
    <w:name w:val="footer"/>
    <w:basedOn w:val="Normal"/>
    <w:link w:val="FooterChar"/>
    <w:uiPriority w:val="99"/>
    <w:unhideWhenUsed/>
    <w:rsid w:val="006D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11"/>
  </w:style>
  <w:style w:type="table" w:styleId="TableGrid">
    <w:name w:val="Table Grid"/>
    <w:basedOn w:val="TableNormal"/>
    <w:uiPriority w:val="59"/>
    <w:rsid w:val="00E86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BD2E8D6B421458E7D01C404AA83A7" ma:contentTypeVersion="1" ma:contentTypeDescription="Create a new document." ma:contentTypeScope="" ma:versionID="2a6be7fcf2288309d98440ed3cb2c5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2610a33-0298-4da0-85e8-7aa28ace60cf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00D4-05BB-465D-B30C-901B64A8A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CE6BE-CC32-402B-8B3F-99F8B08D12D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2EF19C-B677-45E8-96C5-7B73B727D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0945E-6CE4-46EC-AD27-8367A59781E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7302BD6-BFC0-491F-BA07-E5C873FC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Feerick, Sandra</dc:creator>
  <cp:keywords/>
  <dc:description/>
  <cp:lastModifiedBy>Kitching Angie</cp:lastModifiedBy>
  <cp:revision>2</cp:revision>
  <dcterms:created xsi:type="dcterms:W3CDTF">2021-05-13T16:37:00Z</dcterms:created>
  <dcterms:modified xsi:type="dcterms:W3CDTF">2021-05-13T16:37:00Z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0x010100FD2BD2E8D6B421458E7D01C404AA83A7</vt:lpwstr>
  </property>
</Properties>
</file>